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3" w:rsidRDefault="00DC27F3" w:rsidP="00DC27F3">
      <w:pPr>
        <w:pStyle w:val="Default"/>
      </w:pPr>
    </w:p>
    <w:p w:rsidR="00DC27F3" w:rsidRDefault="00DC27F3" w:rsidP="00DC27F3">
      <w:pPr>
        <w:pStyle w:val="Default"/>
        <w:rPr>
          <w:b/>
          <w:bCs/>
          <w:sz w:val="23"/>
          <w:szCs w:val="23"/>
          <w:u w:val="single"/>
        </w:rPr>
      </w:pPr>
      <w:r w:rsidRPr="00DC27F3">
        <w:rPr>
          <w:sz w:val="36"/>
          <w:szCs w:val="36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CHECKLIST</w:t>
      </w:r>
      <w:r w:rsidRPr="00DC27F3">
        <w:rPr>
          <w:b/>
          <w:bCs/>
          <w:sz w:val="23"/>
          <w:szCs w:val="23"/>
          <w:u w:val="single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FOR FILING NET METERING APPLICATIONS</w:t>
      </w:r>
      <w:r w:rsidRPr="00DC27F3">
        <w:rPr>
          <w:b/>
          <w:bCs/>
          <w:sz w:val="23"/>
          <w:szCs w:val="23"/>
          <w:u w:val="single"/>
        </w:rPr>
        <w:t xml:space="preserve"> </w:t>
      </w:r>
    </w:p>
    <w:p w:rsidR="003873F9" w:rsidRDefault="003873F9" w:rsidP="00DC27F3">
      <w:pPr>
        <w:pStyle w:val="Default"/>
        <w:rPr>
          <w:b/>
          <w:bCs/>
          <w:sz w:val="23"/>
          <w:szCs w:val="23"/>
          <w:u w:val="single"/>
        </w:rPr>
      </w:pPr>
    </w:p>
    <w:p w:rsidR="003873F9" w:rsidRDefault="003873F9" w:rsidP="00DC27F3">
      <w:pPr>
        <w:pStyle w:val="Default"/>
        <w:rPr>
          <w:b/>
          <w:bCs/>
          <w:sz w:val="23"/>
          <w:szCs w:val="23"/>
          <w:u w:val="single"/>
        </w:rPr>
      </w:pPr>
    </w:p>
    <w:p w:rsidR="00DC27F3" w:rsidRPr="00DC27F3" w:rsidRDefault="00DC27F3" w:rsidP="00DC27F3">
      <w:pPr>
        <w:pStyle w:val="Default"/>
        <w:rPr>
          <w:sz w:val="23"/>
          <w:szCs w:val="23"/>
          <w:u w:val="single"/>
        </w:rPr>
      </w:pP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For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Pr="003873F9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1622B0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Attested copy of CNIC. </w:t>
      </w:r>
    </w:p>
    <w:p w:rsidR="001622B0" w:rsidRPr="001622B0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1622B0" w:rsidRPr="001622B0">
        <w:rPr>
          <w:rFonts w:ascii="Tahoma" w:hAnsi="Tahoma" w:cs="Tahoma"/>
          <w:sz w:val="32"/>
          <w:szCs w:val="32"/>
        </w:rPr>
        <w:t xml:space="preserve">Copy of last paid electricity bill. (Name of applicant and name </w:t>
      </w:r>
      <w:r>
        <w:rPr>
          <w:rFonts w:ascii="Tahoma" w:hAnsi="Tahoma" w:cs="Tahoma"/>
          <w:sz w:val="32"/>
          <w:szCs w:val="32"/>
        </w:rPr>
        <w:tab/>
      </w:r>
      <w:r w:rsidR="001622B0" w:rsidRPr="001622B0">
        <w:rPr>
          <w:rFonts w:ascii="Tahoma" w:hAnsi="Tahoma" w:cs="Tahoma"/>
          <w:sz w:val="32"/>
          <w:szCs w:val="32"/>
        </w:rPr>
        <w:t>mentioned on electricity bill must be same).</w:t>
      </w: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1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Load Flow Study if DG Facility is greater than </w:t>
      </w:r>
      <w:r w:rsidR="00F7028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25</w:t>
      </w: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0 KW.</w:t>
      </w:r>
    </w:p>
    <w:p w:rsidR="008D7DB2" w:rsidRDefault="008D7DB2" w:rsidP="008D7DB2">
      <w:pPr>
        <w:pStyle w:val="ListParagraph"/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8D7DB2" w:rsidRPr="001622B0" w:rsidRDefault="008D7DB2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Inspection of Electrical Installations.</w:t>
      </w:r>
    </w:p>
    <w:p w:rsidR="00DC27F3" w:rsidRDefault="00DC27F3" w:rsidP="001622B0">
      <w:pPr>
        <w:pStyle w:val="Default"/>
        <w:spacing w:after="171"/>
        <w:ind w:left="90"/>
        <w:rPr>
          <w:rFonts w:ascii="Tahoma" w:hAnsi="Tahoma" w:cs="Tahoma"/>
          <w:sz w:val="32"/>
          <w:szCs w:val="32"/>
        </w:rPr>
      </w:pPr>
    </w:p>
    <w:p w:rsidR="001622B0" w:rsidRDefault="001622B0" w:rsidP="001622B0">
      <w:pPr>
        <w:pStyle w:val="Default"/>
        <w:spacing w:after="171"/>
        <w:ind w:left="90"/>
        <w:rPr>
          <w:rFonts w:ascii="Tahoma" w:hAnsi="Tahoma" w:cs="Tahoma"/>
          <w:sz w:val="32"/>
          <w:szCs w:val="32"/>
        </w:rPr>
      </w:pPr>
    </w:p>
    <w:p w:rsidR="003873F9" w:rsidRPr="00DC27F3" w:rsidRDefault="003873F9" w:rsidP="001622B0">
      <w:pPr>
        <w:pStyle w:val="Default"/>
        <w:spacing w:after="171"/>
        <w:ind w:left="90"/>
        <w:rPr>
          <w:rFonts w:ascii="Tahoma" w:hAnsi="Tahoma" w:cs="Tahoma"/>
          <w:sz w:val="32"/>
          <w:szCs w:val="32"/>
        </w:rPr>
      </w:pPr>
    </w:p>
    <w:p w:rsidR="00DC27F3" w:rsidRPr="00DC27F3" w:rsidRDefault="00DC27F3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DC27F3" w:rsidRDefault="00DC27F3" w:rsidP="00DC27F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C27F3">
        <w:rPr>
          <w:rFonts w:ascii="Tahoma" w:hAnsi="Tahoma" w:cs="Tahoma"/>
          <w:b/>
          <w:bCs/>
          <w:sz w:val="32"/>
          <w:szCs w:val="32"/>
        </w:rPr>
        <w:t xml:space="preserve">NOTE: - </w:t>
      </w:r>
    </w:p>
    <w:p w:rsidR="00DC27F3" w:rsidRPr="00DC27F3" w:rsidRDefault="00DC27F3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DC27F3" w:rsidRDefault="00DC27F3" w:rsidP="00DC27F3">
      <w:pPr>
        <w:pStyle w:val="Default"/>
        <w:spacing w:after="39"/>
        <w:rPr>
          <w:rFonts w:ascii="Calibri" w:hAnsi="Calibri" w:cs="Calibri"/>
          <w:b/>
          <w:i/>
          <w:iCs/>
          <w:sz w:val="32"/>
          <w:szCs w:val="32"/>
        </w:rPr>
      </w:pPr>
      <w:r w:rsidRPr="00DC27F3">
        <w:rPr>
          <w:rFonts w:ascii="Calibri" w:hAnsi="Calibri" w:cs="Calibri"/>
          <w:b/>
          <w:i/>
          <w:iCs/>
          <w:sz w:val="32"/>
          <w:szCs w:val="32"/>
        </w:rPr>
        <w:t>i.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 Only consumers having 3 phase meters installed at their premises are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>eligible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for net metering facility. </w:t>
      </w:r>
    </w:p>
    <w:p w:rsidR="00DC27F3" w:rsidRPr="00DC27F3" w:rsidRDefault="00DC27F3" w:rsidP="00DC27F3">
      <w:pPr>
        <w:pStyle w:val="Default"/>
        <w:spacing w:after="39"/>
        <w:rPr>
          <w:rFonts w:ascii="Calibri" w:hAnsi="Calibri" w:cs="Calibri"/>
          <w:b/>
          <w:sz w:val="32"/>
          <w:szCs w:val="32"/>
        </w:rPr>
      </w:pPr>
    </w:p>
    <w:p w:rsidR="00DC27F3" w:rsidRDefault="00DC27F3" w:rsidP="00DC27F3">
      <w:pPr>
        <w:pStyle w:val="Default"/>
        <w:spacing w:after="39"/>
        <w:rPr>
          <w:rFonts w:ascii="Calibri" w:hAnsi="Calibri" w:cs="Calibri"/>
          <w:b/>
          <w:i/>
          <w:iCs/>
          <w:sz w:val="32"/>
          <w:szCs w:val="32"/>
        </w:rPr>
      </w:pPr>
      <w:r w:rsidRPr="00DC27F3">
        <w:rPr>
          <w:rFonts w:ascii="Calibri" w:hAnsi="Calibri" w:cs="Calibri"/>
          <w:b/>
          <w:i/>
          <w:iCs/>
          <w:sz w:val="32"/>
          <w:szCs w:val="32"/>
        </w:rPr>
        <w:t>i</w:t>
      </w:r>
      <w:r>
        <w:rPr>
          <w:rFonts w:ascii="Calibri" w:hAnsi="Calibri" w:cs="Calibri"/>
          <w:b/>
          <w:i/>
          <w:iCs/>
          <w:sz w:val="32"/>
          <w:szCs w:val="32"/>
        </w:rPr>
        <w:t>i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The inverters must be of grid-tied type. </w:t>
      </w:r>
    </w:p>
    <w:p w:rsidR="00DC27F3" w:rsidRPr="00DC27F3" w:rsidRDefault="00DC27F3" w:rsidP="00DC27F3">
      <w:pPr>
        <w:pStyle w:val="Default"/>
        <w:spacing w:after="39"/>
        <w:rPr>
          <w:rFonts w:ascii="Calibri" w:hAnsi="Calibri" w:cs="Calibri"/>
          <w:b/>
          <w:sz w:val="32"/>
          <w:szCs w:val="32"/>
        </w:rPr>
      </w:pPr>
    </w:p>
    <w:p w:rsidR="00DC27F3" w:rsidRDefault="00DC27F3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iii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>Maximum allowed capacity for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 xml:space="preserve"> net metering facility is 1000 K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Ws. </w:t>
      </w:r>
    </w:p>
    <w:p w:rsidR="00ED070C" w:rsidRDefault="00ED070C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</w:p>
    <w:p w:rsidR="00ED070C" w:rsidRDefault="00ED070C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iV.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Inspection of electrical installations      for </w:t>
      </w:r>
      <w:r>
        <w:rPr>
          <w:rFonts w:ascii="Calibri" w:hAnsi="Calibri" w:cs="Calibri"/>
          <w:b/>
          <w:i/>
          <w:iCs/>
          <w:sz w:val="32"/>
          <w:szCs w:val="32"/>
        </w:rPr>
        <w:tab/>
        <w:t>C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ommissioning 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>/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E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nergization 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for  inter connection of </w:t>
      </w:r>
      <w:r>
        <w:rPr>
          <w:rFonts w:ascii="Calibri" w:hAnsi="Calibri" w:cs="Calibri"/>
          <w:b/>
          <w:i/>
          <w:iCs/>
          <w:sz w:val="32"/>
          <w:szCs w:val="32"/>
        </w:rPr>
        <w:t>D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>.</w:t>
      </w:r>
      <w:r>
        <w:rPr>
          <w:rFonts w:ascii="Calibri" w:hAnsi="Calibri" w:cs="Calibri"/>
          <w:b/>
          <w:i/>
          <w:iCs/>
          <w:sz w:val="32"/>
          <w:szCs w:val="32"/>
        </w:rPr>
        <w:t>G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>
        <w:rPr>
          <w:rFonts w:ascii="Calibri" w:hAnsi="Calibri" w:cs="Calibri"/>
          <w:b/>
          <w:i/>
          <w:iCs/>
          <w:sz w:val="32"/>
          <w:szCs w:val="32"/>
        </w:rPr>
        <w:t>F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acility with the distribution system of 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</w:p>
    <w:p w:rsidR="00ED070C" w:rsidRDefault="00ED070C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>disco for net-metering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is also required.</w:t>
      </w:r>
    </w:p>
    <w:p w:rsidR="00DC27F3" w:rsidRDefault="00DC27F3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</w:p>
    <w:p w:rsidR="00DC27F3" w:rsidRPr="00DC27F3" w:rsidRDefault="00DC27F3" w:rsidP="00DC27F3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DC27F3" w:rsidRPr="00DC27F3" w:rsidRDefault="00DC27F3" w:rsidP="00DC27F3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DC27F3" w:rsidRDefault="00DC27F3" w:rsidP="00DC27F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C27F3">
        <w:rPr>
          <w:rFonts w:ascii="Tahoma" w:hAnsi="Tahoma" w:cs="Tahoma"/>
          <w:b/>
          <w:bCs/>
          <w:sz w:val="32"/>
          <w:szCs w:val="32"/>
        </w:rPr>
        <w:t xml:space="preserve">For Further details please visit </w:t>
      </w:r>
      <w:r>
        <w:rPr>
          <w:rFonts w:ascii="Tahoma" w:hAnsi="Tahoma" w:cs="Tahoma"/>
          <w:b/>
          <w:bCs/>
          <w:sz w:val="32"/>
          <w:szCs w:val="32"/>
        </w:rPr>
        <w:t>:</w:t>
      </w:r>
    </w:p>
    <w:p w:rsidR="00770F60" w:rsidRPr="00DC27F3" w:rsidRDefault="00770F60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B61936">
        <w:rPr>
          <w:rFonts w:ascii="Calibri" w:hAnsi="Calibri" w:cs="Calibri"/>
          <w:b/>
          <w:sz w:val="32"/>
          <w:szCs w:val="32"/>
        </w:rPr>
        <w:t>http://www.mepco.com.pk/</w:t>
      </w:r>
      <w:r w:rsidR="00B61936" w:rsidRPr="00B61936">
        <w:rPr>
          <w:rFonts w:ascii="Calibri" w:hAnsi="Calibri" w:cs="Calibri"/>
          <w:b/>
          <w:sz w:val="32"/>
          <w:szCs w:val="32"/>
        </w:rPr>
        <w:t>Net-Metering-MEPCO</w:t>
      </w:r>
    </w:p>
    <w:p w:rsidR="00B61936" w:rsidRPr="00B61936" w:rsidRDefault="00B61936" w:rsidP="00B61936">
      <w:pPr>
        <w:pStyle w:val="Default"/>
        <w:spacing w:after="29"/>
        <w:ind w:left="720"/>
        <w:rPr>
          <w:rFonts w:ascii="Calibri" w:hAnsi="Calibri" w:cs="Calibri"/>
          <w:b/>
          <w:sz w:val="32"/>
          <w:szCs w:val="32"/>
        </w:rPr>
      </w:pPr>
    </w:p>
    <w:p w:rsidR="001622B0" w:rsidRP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http://www.nepra.org.pk/Legislation/Regulations/NOTIFICATION%20SRO%20892%20-2015.PDF</w:t>
      </w:r>
    </w:p>
    <w:p w:rsidR="001622B0" w:rsidRPr="001622B0" w:rsidRDefault="001622B0" w:rsidP="001622B0">
      <w:pPr>
        <w:pStyle w:val="Default"/>
        <w:spacing w:after="29"/>
        <w:rPr>
          <w:rFonts w:ascii="Calibri" w:hAnsi="Calibri" w:cs="Calibri"/>
          <w:b/>
          <w:sz w:val="32"/>
          <w:szCs w:val="32"/>
        </w:rPr>
      </w:pP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http://www.nepra.org.pk/Lic_netmetering.htm</w:t>
      </w:r>
    </w:p>
    <w:p w:rsidR="001622B0" w:rsidRPr="001622B0" w:rsidRDefault="001622B0" w:rsidP="001622B0">
      <w:pPr>
        <w:pStyle w:val="Default"/>
        <w:spacing w:after="29"/>
        <w:ind w:left="720"/>
        <w:rPr>
          <w:rFonts w:ascii="Calibri" w:hAnsi="Calibri" w:cs="Calibri"/>
          <w:b/>
          <w:sz w:val="32"/>
          <w:szCs w:val="32"/>
        </w:rPr>
      </w:pP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http://www.aedb.org/articles-list/268-list-of-provisionally-approved-applicants-for-net-metering-under-aedb-certification-regulation-2017</w:t>
      </w:r>
    </w:p>
    <w:p w:rsidR="00F70288" w:rsidRDefault="00F70288" w:rsidP="00F70288">
      <w:pPr>
        <w:pStyle w:val="Default"/>
        <w:spacing w:after="29"/>
        <w:ind w:left="720"/>
        <w:rPr>
          <w:rFonts w:ascii="Calibri" w:hAnsi="Calibri" w:cs="Calibri"/>
          <w:b/>
          <w:sz w:val="32"/>
          <w:szCs w:val="32"/>
        </w:rPr>
      </w:pPr>
    </w:p>
    <w:p w:rsidR="00F70288" w:rsidRDefault="00F70288" w:rsidP="00F70288">
      <w:pPr>
        <w:numPr>
          <w:ilvl w:val="0"/>
          <w:numId w:val="2"/>
        </w:numPr>
        <w:tabs>
          <w:tab w:val="left" w:pos="1440"/>
        </w:tabs>
        <w:spacing w:line="0" w:lineRule="atLeast"/>
        <w:rPr>
          <w:rFonts w:ascii="Wingdings" w:eastAsia="Wingdings" w:hAnsi="Wingdings"/>
          <w:sz w:val="36"/>
          <w:szCs w:val="36"/>
          <w:vertAlign w:val="superscript"/>
        </w:rPr>
      </w:pPr>
      <w:r>
        <w:rPr>
          <w:b/>
          <w:i/>
          <w:sz w:val="36"/>
          <w:szCs w:val="36"/>
          <w:u w:val="single"/>
        </w:rPr>
        <w:t>http://www.aedb.org/ju-elibrary/distributed-generation /net-metering-reference-guide-for-the-discos</w:t>
      </w:r>
    </w:p>
    <w:p w:rsidR="00F70288" w:rsidRPr="001622B0" w:rsidRDefault="00F70288" w:rsidP="00F70288">
      <w:pPr>
        <w:pStyle w:val="Default"/>
        <w:spacing w:after="29"/>
        <w:ind w:left="720"/>
        <w:rPr>
          <w:rFonts w:ascii="Calibri" w:hAnsi="Calibri" w:cs="Calibri"/>
          <w:b/>
          <w:sz w:val="32"/>
          <w:szCs w:val="32"/>
        </w:rPr>
      </w:pPr>
    </w:p>
    <w:sectPr w:rsidR="00F70288" w:rsidRPr="001622B0" w:rsidSect="00DC27F3">
      <w:foot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98" w:rsidRDefault="00103B98" w:rsidP="00963BFF">
      <w:r>
        <w:separator/>
      </w:r>
    </w:p>
  </w:endnote>
  <w:endnote w:type="continuationSeparator" w:id="1">
    <w:p w:rsidR="00103B98" w:rsidRDefault="00103B98" w:rsidP="009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963BFF" w:rsidTr="00963BFF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B26F7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F70288" w:rsidRPr="00F70288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98" w:rsidRDefault="00103B98" w:rsidP="00963BFF">
      <w:r>
        <w:separator/>
      </w:r>
    </w:p>
  </w:footnote>
  <w:footnote w:type="continuationSeparator" w:id="1">
    <w:p w:rsidR="00103B98" w:rsidRDefault="00103B98" w:rsidP="009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2D92"/>
    <w:multiLevelType w:val="hybridMultilevel"/>
    <w:tmpl w:val="AC167B4A"/>
    <w:lvl w:ilvl="0" w:tplc="652C9F6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52"/>
        <w:szCs w:val="52"/>
      </w:rPr>
    </w:lvl>
    <w:lvl w:ilvl="1" w:tplc="BDD2C5EE">
      <w:start w:val="1"/>
      <w:numFmt w:val="bullet"/>
      <w:lvlText w:val=""/>
      <w:lvlJc w:val="left"/>
      <w:pPr>
        <w:ind w:left="0" w:firstLine="0"/>
      </w:pPr>
    </w:lvl>
    <w:lvl w:ilvl="2" w:tplc="E034DEE4">
      <w:start w:val="1"/>
      <w:numFmt w:val="bullet"/>
      <w:lvlText w:val=""/>
      <w:lvlJc w:val="left"/>
      <w:pPr>
        <w:ind w:left="0" w:firstLine="0"/>
      </w:pPr>
    </w:lvl>
    <w:lvl w:ilvl="3" w:tplc="527E24E2">
      <w:start w:val="1"/>
      <w:numFmt w:val="bullet"/>
      <w:lvlText w:val=""/>
      <w:lvlJc w:val="left"/>
      <w:pPr>
        <w:ind w:left="0" w:firstLine="0"/>
      </w:pPr>
    </w:lvl>
    <w:lvl w:ilvl="4" w:tplc="63F87662">
      <w:start w:val="1"/>
      <w:numFmt w:val="bullet"/>
      <w:lvlText w:val=""/>
      <w:lvlJc w:val="left"/>
      <w:pPr>
        <w:ind w:left="0" w:firstLine="0"/>
      </w:pPr>
    </w:lvl>
    <w:lvl w:ilvl="5" w:tplc="F7422414">
      <w:start w:val="1"/>
      <w:numFmt w:val="bullet"/>
      <w:lvlText w:val=""/>
      <w:lvlJc w:val="left"/>
      <w:pPr>
        <w:ind w:left="0" w:firstLine="0"/>
      </w:pPr>
    </w:lvl>
    <w:lvl w:ilvl="6" w:tplc="6590D88E">
      <w:start w:val="1"/>
      <w:numFmt w:val="bullet"/>
      <w:lvlText w:val=""/>
      <w:lvlJc w:val="left"/>
      <w:pPr>
        <w:ind w:left="0" w:firstLine="0"/>
      </w:pPr>
    </w:lvl>
    <w:lvl w:ilvl="7" w:tplc="61206574">
      <w:start w:val="1"/>
      <w:numFmt w:val="bullet"/>
      <w:lvlText w:val=""/>
      <w:lvlJc w:val="left"/>
      <w:pPr>
        <w:ind w:left="0" w:firstLine="0"/>
      </w:pPr>
    </w:lvl>
    <w:lvl w:ilvl="8" w:tplc="779AD672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F3"/>
    <w:rsid w:val="00044207"/>
    <w:rsid w:val="000A28A0"/>
    <w:rsid w:val="00103B98"/>
    <w:rsid w:val="001622B0"/>
    <w:rsid w:val="00263541"/>
    <w:rsid w:val="0030322E"/>
    <w:rsid w:val="003873F9"/>
    <w:rsid w:val="004336CD"/>
    <w:rsid w:val="00454800"/>
    <w:rsid w:val="00477211"/>
    <w:rsid w:val="00484129"/>
    <w:rsid w:val="00690737"/>
    <w:rsid w:val="00770F60"/>
    <w:rsid w:val="008B67CB"/>
    <w:rsid w:val="008D7DB2"/>
    <w:rsid w:val="00913E73"/>
    <w:rsid w:val="00934461"/>
    <w:rsid w:val="00963BFF"/>
    <w:rsid w:val="00A06383"/>
    <w:rsid w:val="00B17A53"/>
    <w:rsid w:val="00B26F70"/>
    <w:rsid w:val="00B61936"/>
    <w:rsid w:val="00C068EF"/>
    <w:rsid w:val="00DC27F3"/>
    <w:rsid w:val="00E556D0"/>
    <w:rsid w:val="00ED070C"/>
    <w:rsid w:val="00F61756"/>
    <w:rsid w:val="00F7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0BA"/>
    <w:rsid w:val="001410BA"/>
    <w:rsid w:val="00266552"/>
    <w:rsid w:val="00377762"/>
    <w:rsid w:val="004A1D15"/>
    <w:rsid w:val="00A10B42"/>
    <w:rsid w:val="00CE30BE"/>
    <w:rsid w:val="00EC384D"/>
    <w:rsid w:val="00ED190F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2018-02-09T04:37:00Z</dcterms:created>
  <dcterms:modified xsi:type="dcterms:W3CDTF">2018-02-19T06:51:00Z</dcterms:modified>
</cp:coreProperties>
</file>